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19" w:rsidRDefault="00BB4B4F">
      <w:pPr>
        <w:pStyle w:val="a3"/>
        <w:spacing w:before="61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2C7519" w:rsidRDefault="00BB4B4F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1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2C7519" w:rsidRDefault="00BB4B4F">
      <w:pPr>
        <w:pStyle w:val="a3"/>
        <w:tabs>
          <w:tab w:val="left" w:pos="8569"/>
          <w:tab w:val="left" w:pos="10107"/>
          <w:tab w:val="left" w:pos="10807"/>
        </w:tabs>
        <w:spacing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7571A">
        <w:t>2022</w:t>
      </w:r>
      <w:r>
        <w:rPr>
          <w:spacing w:val="-2"/>
        </w:rPr>
        <w:t xml:space="preserve"> </w:t>
      </w:r>
      <w:r>
        <w:t>р.</w:t>
      </w:r>
    </w:p>
    <w:p w:rsidR="002C7519" w:rsidRDefault="002C7519">
      <w:pPr>
        <w:pStyle w:val="a3"/>
        <w:rPr>
          <w:sz w:val="24"/>
        </w:rPr>
      </w:pPr>
    </w:p>
    <w:p w:rsidR="002C7519" w:rsidRDefault="002C7519">
      <w:pPr>
        <w:pStyle w:val="a3"/>
        <w:rPr>
          <w:sz w:val="24"/>
        </w:rPr>
      </w:pPr>
    </w:p>
    <w:p w:rsidR="002C7519" w:rsidRDefault="002C7519">
      <w:pPr>
        <w:pStyle w:val="a3"/>
        <w:rPr>
          <w:sz w:val="24"/>
        </w:rPr>
      </w:pPr>
    </w:p>
    <w:p w:rsidR="002C7519" w:rsidRDefault="00BB4B4F">
      <w:pPr>
        <w:pStyle w:val="1"/>
        <w:spacing w:before="148"/>
        <w:ind w:left="2348" w:right="2310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10А/Б»</w:t>
      </w:r>
    </w:p>
    <w:p w:rsidR="002C7519" w:rsidRDefault="002C7519">
      <w:pPr>
        <w:pStyle w:val="a3"/>
        <w:spacing w:before="10"/>
        <w:rPr>
          <w:b/>
          <w:sz w:val="16"/>
        </w:rPr>
      </w:pPr>
    </w:p>
    <w:p w:rsidR="002C7519" w:rsidRDefault="00BB4B4F">
      <w:pPr>
        <w:pStyle w:val="a3"/>
        <w:tabs>
          <w:tab w:val="left" w:pos="8957"/>
        </w:tabs>
        <w:spacing w:before="91" w:line="259" w:lineRule="auto"/>
        <w:ind w:left="766" w:right="1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9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6"/>
        </w:rPr>
        <w:t xml:space="preserve"> </w:t>
      </w:r>
      <w:r>
        <w:t>ЗБУТ</w:t>
      </w:r>
      <w:r>
        <w:rPr>
          <w:spacing w:val="7"/>
        </w:rPr>
        <w:t xml:space="preserve"> </w:t>
      </w:r>
      <w:r>
        <w:t>»,</w:t>
      </w:r>
      <w:r>
        <w:rPr>
          <w:spacing w:val="9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Постачальник),</w:t>
      </w:r>
    </w:p>
    <w:p w:rsidR="002C7519" w:rsidRDefault="00BB4B4F">
      <w:pPr>
        <w:pStyle w:val="a3"/>
        <w:spacing w:before="1" w:line="259" w:lineRule="auto"/>
        <w:ind w:left="200" w:right="143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2C7519" w:rsidRDefault="00BB4B4F">
      <w:pPr>
        <w:pStyle w:val="a3"/>
        <w:spacing w:before="2"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2C7519" w:rsidRDefault="00BB4B4F">
      <w:pPr>
        <w:pStyle w:val="a3"/>
        <w:spacing w:line="259" w:lineRule="auto"/>
        <w:ind w:left="200" w:right="157" w:firstLine="566"/>
        <w:jc w:val="both"/>
      </w:pPr>
      <w:r>
        <w:t>Територія</w:t>
      </w:r>
      <w:r>
        <w:rPr>
          <w:spacing w:val="-7"/>
        </w:rPr>
        <w:t xml:space="preserve"> </w:t>
      </w:r>
      <w:r>
        <w:t>діяльності:</w:t>
      </w:r>
      <w:r>
        <w:rPr>
          <w:spacing w:val="-10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8"/>
        </w:rPr>
        <w:t xml:space="preserve"> </w:t>
      </w:r>
      <w:r>
        <w:t>ЗБУТ»</w:t>
      </w:r>
      <w:r>
        <w:rPr>
          <w:spacing w:val="-12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1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6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надання</w:t>
      </w:r>
      <w:r>
        <w:rPr>
          <w:spacing w:val="-5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енергії.</w:t>
      </w:r>
    </w:p>
    <w:p w:rsidR="002C7519" w:rsidRDefault="00BB4B4F">
      <w:pPr>
        <w:pStyle w:val="a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2C7519" w:rsidRDefault="00BB4B4F">
      <w:pPr>
        <w:pStyle w:val="1"/>
        <w:tabs>
          <w:tab w:val="left" w:pos="8069"/>
        </w:tabs>
        <w:spacing w:after="15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67571A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67571A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2C7519">
        <w:trPr>
          <w:trHeight w:val="350"/>
        </w:trPr>
        <w:tc>
          <w:tcPr>
            <w:tcW w:w="1272" w:type="dxa"/>
          </w:tcPr>
          <w:p w:rsidR="002C7519" w:rsidRDefault="00BB4B4F">
            <w:pPr>
              <w:pStyle w:val="TableParagraph"/>
              <w:spacing w:before="39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before="39"/>
              <w:ind w:left="2234" w:right="22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2C7519">
        <w:trPr>
          <w:trHeight w:val="7153"/>
        </w:trPr>
        <w:tc>
          <w:tcPr>
            <w:tcW w:w="1272" w:type="dxa"/>
            <w:textDirection w:val="btLr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before="29" w:line="251" w:lineRule="exact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вимірювання,</w:t>
            </w:r>
            <w:r>
              <w:rPr>
                <w:spacing w:val="3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 групи</w:t>
            </w:r>
          </w:p>
          <w:p w:rsidR="002C7519" w:rsidRDefault="00BB4B4F">
            <w:pPr>
              <w:pStyle w:val="TableParagraph"/>
              <w:ind w:left="144" w:right="125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період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(місяць)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10"/>
              </w:rPr>
              <w:t xml:space="preserve"> </w:t>
            </w:r>
            <w:r>
              <w:t>відповідних</w:t>
            </w:r>
            <w:r>
              <w:rPr>
                <w:spacing w:val="28"/>
              </w:rPr>
              <w:t xml:space="preserve"> </w:t>
            </w:r>
            <w:r>
              <w:t>годин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відповідні</w:t>
            </w:r>
            <w:r>
              <w:rPr>
                <w:spacing w:val="24"/>
              </w:rPr>
              <w:t xml:space="preserve"> </w:t>
            </w:r>
            <w:r>
              <w:t>доби</w:t>
            </w:r>
            <w:r>
              <w:rPr>
                <w:spacing w:val="41"/>
              </w:rPr>
              <w:t xml:space="preserve"> </w:t>
            </w:r>
            <w:r>
              <w:t>розрахункового</w:t>
            </w:r>
            <w:r>
              <w:rPr>
                <w:spacing w:val="2"/>
              </w:rPr>
              <w:t xml:space="preserve"> </w:t>
            </w:r>
            <w:r>
              <w:t>періоду:</w:t>
            </w:r>
          </w:p>
          <w:p w:rsidR="002C7519" w:rsidRDefault="002C751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ind w:left="2238" w:right="2225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 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+ 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C7519" w:rsidRDefault="002C7519">
            <w:pPr>
              <w:pStyle w:val="TableParagraph"/>
              <w:rPr>
                <w:b/>
              </w:rPr>
            </w:pPr>
          </w:p>
          <w:p w:rsidR="002C7519" w:rsidRDefault="00BB4B4F">
            <w:pPr>
              <w:pStyle w:val="TableParagraph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:rsidR="002C7519" w:rsidRDefault="00BB4B4F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9" w:lineRule="exact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2C7519" w:rsidRDefault="002C7519">
            <w:pPr>
              <w:pStyle w:val="TableParagraph"/>
              <w:spacing w:before="7"/>
              <w:rPr>
                <w:b/>
              </w:rPr>
            </w:pPr>
          </w:p>
          <w:p w:rsidR="002C7519" w:rsidRDefault="00BB4B4F">
            <w:pPr>
              <w:pStyle w:val="TableParagraph"/>
              <w:ind w:left="2232" w:right="2225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:rsidR="002C7519" w:rsidRDefault="002C751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2C7519" w:rsidRDefault="002C7519">
            <w:pPr>
              <w:pStyle w:val="TableParagraph"/>
              <w:spacing w:before="2"/>
              <w:rPr>
                <w:b/>
              </w:rPr>
            </w:pPr>
          </w:p>
          <w:p w:rsidR="002C7519" w:rsidRDefault="00BB4B4F">
            <w:pPr>
              <w:pStyle w:val="TableParagraph"/>
              <w:ind w:left="2242" w:right="2224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2C7519" w:rsidRDefault="002C75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 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10 %,</w:t>
            </w:r>
          </w:p>
          <w:p w:rsidR="002C7519" w:rsidRDefault="002C751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ind w:left="2242" w:right="2225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C7519" w:rsidRDefault="002C7519">
            <w:pPr>
              <w:pStyle w:val="TableParagraph"/>
              <w:spacing w:before="5"/>
              <w:rPr>
                <w:b/>
              </w:rPr>
            </w:pPr>
          </w:p>
          <w:p w:rsidR="002C7519" w:rsidRDefault="00BB4B4F">
            <w:pPr>
              <w:pStyle w:val="TableParagraph"/>
              <w:spacing w:line="235" w:lineRule="auto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spacing w:before="1"/>
              <w:ind w:left="144" w:right="14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 xml:space="preserve">П </w:t>
            </w:r>
            <w:proofErr w:type="spellStart"/>
            <w:r>
              <w:t>овідомленні</w:t>
            </w:r>
            <w:proofErr w:type="spellEnd"/>
            <w:r>
              <w:rPr>
                <w:spacing w:val="56"/>
              </w:rPr>
              <w:t xml:space="preserve"> </w:t>
            </w:r>
            <w:r>
              <w:t>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10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</w:tc>
      </w:tr>
    </w:tbl>
    <w:p w:rsidR="002C7519" w:rsidRDefault="002C7519">
      <w:pPr>
        <w:jc w:val="both"/>
        <w:sectPr w:rsidR="002C7519">
          <w:type w:val="continuous"/>
          <w:pgSz w:w="11910" w:h="16840"/>
          <w:pgMar w:top="10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2C7519">
        <w:trPr>
          <w:trHeight w:val="9506"/>
        </w:trPr>
        <w:tc>
          <w:tcPr>
            <w:tcW w:w="1272" w:type="dxa"/>
          </w:tcPr>
          <w:p w:rsidR="002C7519" w:rsidRDefault="002C751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ind w:left="144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</w:t>
              </w:r>
            </w:hyperlink>
            <w:r>
              <w:t>w.oree.com.ua.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BB4B4F">
            <w:pPr>
              <w:pStyle w:val="TableParagraph"/>
              <w:tabs>
                <w:tab w:val="left" w:leader="underscore" w:pos="2031"/>
              </w:tabs>
              <w:ind w:left="144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 w:rsidR="0077181C">
              <w:rPr>
                <w:position w:val="2"/>
              </w:rPr>
              <w:t>Послуги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 w:rsidR="0077181C">
              <w:rPr>
                <w:position w:val="2"/>
              </w:rPr>
              <w:t xml:space="preserve"> електроенергії (маржа)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віднесених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групи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t>що</w:t>
            </w:r>
            <w:r>
              <w:rPr>
                <w:spacing w:val="39"/>
              </w:rPr>
              <w:t xml:space="preserve"> </w:t>
            </w:r>
            <w:r>
              <w:t>складає</w:t>
            </w:r>
            <w:r>
              <w:tab/>
              <w:t>грн/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ind w:left="144" w:right="140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 в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30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6"/>
              </w:rPr>
              <w:t xml:space="preserve"> </w:t>
            </w:r>
            <w:r>
              <w:t>«А»,</w:t>
            </w:r>
            <w:r>
              <w:rPr>
                <w:spacing w:val="35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ind w:left="144" w:right="155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 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 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30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BB4B4F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2C75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spacing w:before="1"/>
              <w:ind w:left="144" w:right="14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8"/>
              </w:rPr>
              <w:t xml:space="preserve"> </w:t>
            </w:r>
            <w:r>
              <w:t>період</w:t>
            </w:r>
            <w:r>
              <w:rPr>
                <w:spacing w:val="25"/>
              </w:rPr>
              <w:t xml:space="preserve"> </w:t>
            </w:r>
            <w:r>
              <w:t>(місяць)</w:t>
            </w:r>
            <w:r>
              <w:rPr>
                <w:spacing w:val="24"/>
              </w:rPr>
              <w:t xml:space="preserve"> </w:t>
            </w: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</w:p>
          <w:p w:rsidR="002C7519" w:rsidRDefault="00BB4B4F">
            <w:pPr>
              <w:pStyle w:val="TableParagraph"/>
              <w:spacing w:before="2"/>
              <w:ind w:left="2242" w:right="2224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C7519" w:rsidRDefault="002C75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tabs>
                <w:tab w:val="left" w:pos="715"/>
              </w:tabs>
              <w:spacing w:before="1" w:line="237" w:lineRule="auto"/>
              <w:ind w:left="144" w:right="140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3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6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площадці</w:t>
            </w:r>
            <w:r>
              <w:rPr>
                <w:spacing w:val="55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   до</w:t>
            </w:r>
            <w:r>
              <w:rPr>
                <w:spacing w:val="55"/>
              </w:rPr>
              <w:t xml:space="preserve"> </w:t>
            </w:r>
            <w:r>
              <w:t>групи   «Б»,   грн   без</w:t>
            </w:r>
            <w:r>
              <w:rPr>
                <w:spacing w:val="55"/>
              </w:rPr>
              <w:t xml:space="preserve"> </w:t>
            </w:r>
            <w:r>
              <w:t>ПДВ;</w:t>
            </w:r>
            <w:r>
              <w:rPr>
                <w:spacing w:val="1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z w:val="1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постачання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-52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29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spacing w:before="3"/>
              <w:ind w:left="144" w:right="142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7"/>
              </w:rPr>
              <w:t xml:space="preserve"> </w:t>
            </w:r>
            <w:r>
              <w:t>документами,</w:t>
            </w:r>
            <w:r>
              <w:rPr>
                <w:spacing w:val="28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BB4B4F">
            <w:pPr>
              <w:pStyle w:val="TableParagraph"/>
              <w:tabs>
                <w:tab w:val="left" w:leader="underscore" w:pos="2031"/>
              </w:tabs>
              <w:spacing w:before="3" w:line="235" w:lineRule="auto"/>
              <w:ind w:left="144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 w:rsidR="0077181C" w:rsidRPr="0077181C">
              <w:rPr>
                <w:position w:val="2"/>
              </w:rPr>
              <w:t>Послуги Поста</w:t>
            </w:r>
            <w:r w:rsidR="0077181C">
              <w:rPr>
                <w:position w:val="2"/>
              </w:rPr>
              <w:t>чальника електроенергії (маржа)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віднесених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групи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«Б»,</w:t>
            </w:r>
            <w:r>
              <w:rPr>
                <w:spacing w:val="1"/>
                <w:position w:val="2"/>
              </w:rPr>
              <w:t xml:space="preserve"> </w:t>
            </w:r>
            <w:r>
              <w:t>що</w:t>
            </w:r>
            <w:r>
              <w:rPr>
                <w:spacing w:val="39"/>
              </w:rPr>
              <w:t xml:space="preserve"> </w:t>
            </w:r>
            <w:r>
              <w:t>складає</w:t>
            </w:r>
            <w:r>
              <w:tab/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2C7519">
        <w:trPr>
          <w:trHeight w:val="1521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32" w:line="237" w:lineRule="auto"/>
              <w:ind w:left="157" w:right="136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C7519" w:rsidRDefault="00BB4B4F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8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</w:t>
            </w:r>
            <w:r>
              <w:rPr>
                <w:spacing w:val="8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2C7519">
        <w:trPr>
          <w:trHeight w:val="1708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32" w:line="237" w:lineRule="auto"/>
              <w:ind w:left="137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BB4B4F">
            <w:pPr>
              <w:pStyle w:val="TableParagraph"/>
              <w:spacing w:before="158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4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Постачальника.</w:t>
            </w:r>
          </w:p>
        </w:tc>
      </w:tr>
    </w:tbl>
    <w:p w:rsidR="002C7519" w:rsidRDefault="002C7519">
      <w:pPr>
        <w:sectPr w:rsidR="002C7519">
          <w:pgSz w:w="11910" w:h="16840"/>
          <w:pgMar w:top="8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2C7519">
        <w:trPr>
          <w:trHeight w:val="5674"/>
        </w:trPr>
        <w:tc>
          <w:tcPr>
            <w:tcW w:w="1272" w:type="dxa"/>
            <w:textDirection w:val="btLr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ind w:left="2110" w:right="2097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=Vп×(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2C7519" w:rsidRDefault="00BB4B4F">
            <w:pPr>
              <w:pStyle w:val="TableParagraph"/>
              <w:spacing w:before="1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2C7519" w:rsidRDefault="00BB4B4F">
            <w:pPr>
              <w:pStyle w:val="TableParagraph"/>
              <w:spacing w:before="2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2C7519">
        <w:trPr>
          <w:trHeight w:val="2251"/>
        </w:trPr>
        <w:tc>
          <w:tcPr>
            <w:tcW w:w="1272" w:type="dxa"/>
            <w:textDirection w:val="btLr"/>
          </w:tcPr>
          <w:p w:rsidR="002C7519" w:rsidRDefault="002C751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C7519" w:rsidRDefault="00BB4B4F">
            <w:pPr>
              <w:pStyle w:val="TableParagraph"/>
              <w:spacing w:line="237" w:lineRule="auto"/>
              <w:ind w:left="742" w:right="200" w:hanging="509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line="236" w:lineRule="exact"/>
              <w:ind w:left="144"/>
              <w:jc w:val="both"/>
            </w:pPr>
            <w:r>
              <w:t>У</w:t>
            </w:r>
            <w:r>
              <w:rPr>
                <w:spacing w:val="9"/>
              </w:rPr>
              <w:t xml:space="preserve"> </w:t>
            </w:r>
            <w:r>
              <w:t>разі</w:t>
            </w:r>
            <w:r>
              <w:rPr>
                <w:spacing w:val="4"/>
              </w:rPr>
              <w:t xml:space="preserve"> </w:t>
            </w:r>
            <w:r>
              <w:t>несвоєчасної</w:t>
            </w:r>
            <w:r>
              <w:rPr>
                <w:spacing w:val="9"/>
              </w:rPr>
              <w:t xml:space="preserve"> </w:t>
            </w:r>
            <w:r>
              <w:t>оплати</w:t>
            </w:r>
            <w:r>
              <w:rPr>
                <w:spacing w:val="12"/>
              </w:rPr>
              <w:t xml:space="preserve"> </w:t>
            </w:r>
            <w:r>
              <w:t>обумовлених</w:t>
            </w:r>
            <w:r>
              <w:rPr>
                <w:spacing w:val="12"/>
              </w:rPr>
              <w:t xml:space="preserve"> </w:t>
            </w:r>
            <w:r>
              <w:t>даним</w:t>
            </w:r>
            <w:r>
              <w:rPr>
                <w:spacing w:val="6"/>
              </w:rPr>
              <w:t xml:space="preserve"> </w:t>
            </w:r>
            <w:r>
              <w:t>Додатком</w:t>
            </w:r>
            <w:r>
              <w:rPr>
                <w:spacing w:val="12"/>
              </w:rPr>
              <w:t xml:space="preserve"> </w:t>
            </w:r>
            <w:r>
              <w:t>платежів,</w:t>
            </w:r>
            <w:r>
              <w:rPr>
                <w:spacing w:val="9"/>
              </w:rPr>
              <w:t xml:space="preserve"> </w:t>
            </w:r>
            <w:r>
              <w:t>Постачальник</w:t>
            </w:r>
            <w:r>
              <w:rPr>
                <w:spacing w:val="11"/>
              </w:rPr>
              <w:t xml:space="preserve"> </w:t>
            </w:r>
            <w:r>
              <w:t>електричної</w:t>
            </w:r>
          </w:p>
          <w:p w:rsidR="002C7519" w:rsidRDefault="00BB4B4F">
            <w:pPr>
              <w:pStyle w:val="TableParagraph"/>
              <w:spacing w:before="1"/>
              <w:ind w:left="144"/>
              <w:jc w:val="both"/>
            </w:pPr>
            <w:r>
              <w:t>енергії</w:t>
            </w:r>
            <w:r>
              <w:rPr>
                <w:spacing w:val="-6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Споживачу</w:t>
            </w:r>
            <w:r>
              <w:rPr>
                <w:spacing w:val="-2"/>
              </w:rPr>
              <w:t xml:space="preserve"> </w:t>
            </w:r>
            <w:r>
              <w:t>нарахування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прострочення:</w:t>
            </w:r>
          </w:p>
          <w:p w:rsidR="002C7519" w:rsidRDefault="00BB4B4F">
            <w:pPr>
              <w:pStyle w:val="TableParagraph"/>
              <w:spacing w:before="2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2C7519" w:rsidRDefault="00BB4B4F">
            <w:pPr>
              <w:pStyle w:val="TableParagraph"/>
              <w:spacing w:line="251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2C7519" w:rsidRDefault="00BB4B4F">
            <w:pPr>
              <w:pStyle w:val="TableParagraph"/>
              <w:spacing w:before="1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6"/>
              </w:rPr>
              <w:t xml:space="preserve"> </w:t>
            </w:r>
            <w:r>
              <w:t>електричної</w:t>
            </w:r>
            <w:r>
              <w:rPr>
                <w:spacing w:val="9"/>
              </w:rPr>
              <w:t xml:space="preserve"> </w:t>
            </w:r>
            <w:r>
              <w:t>енергії,</w:t>
            </w:r>
            <w:r>
              <w:rPr>
                <w:spacing w:val="11"/>
              </w:rPr>
              <w:t xml:space="preserve"> </w:t>
            </w:r>
            <w:r>
              <w:t>який</w:t>
            </w:r>
            <w:r>
              <w:rPr>
                <w:spacing w:val="10"/>
              </w:rPr>
              <w:t xml:space="preserve"> </w:t>
            </w:r>
            <w:r>
              <w:t>вказується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6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5"/>
              </w:rPr>
              <w:t xml:space="preserve"> </w:t>
            </w:r>
            <w:r>
              <w:t>з</w:t>
            </w:r>
          </w:p>
          <w:p w:rsidR="002C7519" w:rsidRDefault="00BB4B4F">
            <w:pPr>
              <w:pStyle w:val="TableParagraph"/>
              <w:spacing w:line="222" w:lineRule="exact"/>
              <w:ind w:left="144"/>
              <w:jc w:val="both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отримання.</w:t>
            </w:r>
          </w:p>
        </w:tc>
      </w:tr>
      <w:tr w:rsidR="002C7519">
        <w:trPr>
          <w:trHeight w:val="1708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67" w:line="290" w:lineRule="auto"/>
              <w:ind w:left="12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BB4B4F">
            <w:pPr>
              <w:pStyle w:val="TableParagraph"/>
              <w:spacing w:before="165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2C7519">
        <w:trPr>
          <w:trHeight w:val="1996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67" w:line="290" w:lineRule="auto"/>
              <w:ind w:left="147" w:right="125" w:firstLine="2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before="175" w:line="259" w:lineRule="auto"/>
              <w:ind w:left="144" w:right="133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 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місяця,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  <w:tr w:rsidR="002C7519">
        <w:trPr>
          <w:trHeight w:val="3360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32" w:line="237" w:lineRule="auto"/>
              <w:ind w:left="224" w:right="20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line="259" w:lineRule="auto"/>
              <w:ind w:left="144" w:right="132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дії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договору.</w:t>
            </w:r>
            <w:r>
              <w:rPr>
                <w:spacing w:val="-4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тому</w:t>
            </w:r>
            <w:r>
              <w:rPr>
                <w:spacing w:val="-12"/>
              </w:rPr>
              <w:t xml:space="preserve"> </w:t>
            </w:r>
            <w:r>
              <w:t>випадку</w:t>
            </w:r>
            <w:r>
              <w:rPr>
                <w:spacing w:val="-12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2C7519" w:rsidRDefault="00BB4B4F">
            <w:pPr>
              <w:pStyle w:val="TableParagraph"/>
              <w:spacing w:line="259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</w:tbl>
    <w:p w:rsidR="002C7519" w:rsidRDefault="002C7519">
      <w:pPr>
        <w:spacing w:line="259" w:lineRule="auto"/>
        <w:jc w:val="both"/>
        <w:sectPr w:rsidR="002C7519">
          <w:pgSz w:w="11910" w:h="16840"/>
          <w:pgMar w:top="8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2C7519">
        <w:trPr>
          <w:trHeight w:val="1824"/>
        </w:trPr>
        <w:tc>
          <w:tcPr>
            <w:tcW w:w="1272" w:type="dxa"/>
            <w:gridSpan w:val="2"/>
            <w:textDirection w:val="btLr"/>
          </w:tcPr>
          <w:p w:rsidR="002C7519" w:rsidRDefault="00BB4B4F">
            <w:pPr>
              <w:pStyle w:val="TableParagraph"/>
              <w:spacing w:before="167" w:line="290" w:lineRule="auto"/>
              <w:ind w:left="142" w:right="12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spacing w:before="1"/>
              <w:ind w:left="144" w:right="12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5"/>
              </w:rPr>
              <w:t xml:space="preserve"> </w:t>
            </w:r>
            <w:r>
              <w:t>компенсація</w:t>
            </w:r>
            <w:r>
              <w:rPr>
                <w:spacing w:val="-7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7A5D49">
        <w:trPr>
          <w:trHeight w:val="1824"/>
        </w:trPr>
        <w:tc>
          <w:tcPr>
            <w:tcW w:w="1272" w:type="dxa"/>
            <w:gridSpan w:val="2"/>
            <w:textDirection w:val="btLr"/>
          </w:tcPr>
          <w:p w:rsidR="007A5D49" w:rsidRDefault="007A5D49" w:rsidP="007A5D4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7A5D49">
        <w:trPr>
          <w:trHeight w:val="549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7A5D49" w:rsidRDefault="007A5D49" w:rsidP="007A5D49">
            <w:pPr>
              <w:pStyle w:val="TableParagraph"/>
              <w:spacing w:line="250" w:lineRule="exact"/>
              <w:ind w:left="276" w:right="259" w:firstLine="4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7A5D49" w:rsidRDefault="007A5D49" w:rsidP="007A5D4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7A5D49" w:rsidRDefault="007A5D49" w:rsidP="007A5D49">
            <w:pPr>
              <w:pStyle w:val="TableParagraph"/>
              <w:spacing w:before="26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7A5D49">
        <w:trPr>
          <w:trHeight w:val="1288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7A5D49" w:rsidRDefault="007A5D49" w:rsidP="007A5D4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7A5D49" w:rsidRDefault="007A5D49" w:rsidP="007A5D49">
            <w:pPr>
              <w:pStyle w:val="TableParagraph"/>
              <w:spacing w:before="11" w:line="233" w:lineRule="exact"/>
              <w:ind w:left="565" w:right="-29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7A5D49" w:rsidRDefault="007A5D49" w:rsidP="007A5D49">
            <w:pPr>
              <w:rPr>
                <w:sz w:val="2"/>
                <w:szCs w:val="2"/>
              </w:rPr>
            </w:pPr>
          </w:p>
        </w:tc>
      </w:tr>
    </w:tbl>
    <w:p w:rsidR="002C7519" w:rsidRDefault="002C7519">
      <w:pPr>
        <w:pStyle w:val="a3"/>
        <w:spacing w:before="6"/>
        <w:rPr>
          <w:b/>
          <w:sz w:val="13"/>
        </w:rPr>
      </w:pPr>
    </w:p>
    <w:p w:rsidR="002C7519" w:rsidRDefault="00BB4B4F">
      <w:pPr>
        <w:spacing w:before="93" w:line="237" w:lineRule="auto"/>
        <w:ind w:left="200" w:right="15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2C7519" w:rsidRDefault="00BB4B4F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2C7519" w:rsidRDefault="00BB4B4F">
      <w:pPr>
        <w:pStyle w:val="1"/>
        <w:spacing w:before="26"/>
      </w:pPr>
      <w:r>
        <w:t>Інше:</w:t>
      </w:r>
    </w:p>
    <w:p w:rsidR="002C7519" w:rsidRDefault="00BB4B4F">
      <w:pPr>
        <w:pStyle w:val="a3"/>
        <w:spacing w:before="16" w:line="259" w:lineRule="auto"/>
        <w:ind w:left="200" w:right="221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:rsidR="002C7519" w:rsidRDefault="00BB4B4F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2C7519" w:rsidRDefault="00BB4B4F">
      <w:pPr>
        <w:pStyle w:val="a4"/>
        <w:numPr>
          <w:ilvl w:val="0"/>
          <w:numId w:val="1"/>
        </w:numPr>
        <w:tabs>
          <w:tab w:val="left" w:pos="897"/>
        </w:tabs>
        <w:spacing w:before="21"/>
        <w:ind w:hanging="131"/>
      </w:pPr>
      <w:r>
        <w:t>в</w:t>
      </w:r>
      <w:r>
        <w:rPr>
          <w:spacing w:val="-4"/>
        </w:rPr>
        <w:t xml:space="preserve"> </w:t>
      </w:r>
      <w:r>
        <w:t>центрі</w:t>
      </w:r>
      <w:r>
        <w:rPr>
          <w:spacing w:val="-3"/>
        </w:rPr>
        <w:t xml:space="preserve"> </w:t>
      </w:r>
      <w:r>
        <w:t>обслуговування.</w:t>
      </w:r>
    </w:p>
    <w:p w:rsidR="002C7519" w:rsidRDefault="00BB4B4F">
      <w:pPr>
        <w:pStyle w:val="a3"/>
        <w:spacing w:before="16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2"/>
        </w:rPr>
        <w:t xml:space="preserve"> </w:t>
      </w:r>
      <w:r>
        <w:t>ЗБУТ»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 w:rsidR="004F5CEC">
        <w:t>https://vn</w:t>
      </w:r>
      <w:r>
        <w:t>gaszbut.com.uа</w:t>
      </w:r>
      <w:r>
        <w:rPr>
          <w:spacing w:val="4"/>
        </w:rPr>
        <w:t xml:space="preserve"> </w:t>
      </w:r>
    </w:p>
    <w:p w:rsidR="002C7519" w:rsidRDefault="002C7519">
      <w:pPr>
        <w:pStyle w:val="a3"/>
        <w:spacing w:before="1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2C7519">
        <w:trPr>
          <w:trHeight w:val="5441"/>
        </w:trPr>
        <w:tc>
          <w:tcPr>
            <w:tcW w:w="4936" w:type="dxa"/>
          </w:tcPr>
          <w:p w:rsidR="002C7519" w:rsidRDefault="00BB4B4F">
            <w:pPr>
              <w:pStyle w:val="TableParagraph"/>
              <w:spacing w:line="237" w:lineRule="auto"/>
              <w:ind w:left="200" w:right="1827" w:firstLine="883"/>
              <w:rPr>
                <w:sz w:val="20"/>
              </w:rPr>
            </w:pPr>
            <w:r>
              <w:rPr>
                <w:b/>
              </w:rPr>
              <w:t>Постачальник: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ТОВАРИСТВО З ОБМЕЖЕНОЮ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2C7519" w:rsidRDefault="00BB4B4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2C7519" w:rsidRDefault="00BB4B4F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2C7519" w:rsidRDefault="00BB4B4F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2C7519" w:rsidRDefault="00BB4B4F">
            <w:pPr>
              <w:pStyle w:val="TableParagraph"/>
              <w:spacing w:line="244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 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2C7519" w:rsidRDefault="00BB4B4F"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2C7519" w:rsidRDefault="00BB4B4F">
            <w:pPr>
              <w:pStyle w:val="TableParagraph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2C7519" w:rsidRDefault="00BB4B4F">
            <w:pPr>
              <w:pStyle w:val="TableParagraph"/>
              <w:spacing w:before="4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2C7519" w:rsidRDefault="00BB4B4F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BC03D3" w:rsidRPr="00BC03D3">
              <w:rPr>
                <w:sz w:val="18"/>
              </w:rPr>
              <w:t>UA623020760000026034301301258</w:t>
            </w:r>
          </w:p>
          <w:p w:rsidR="009B5D8F" w:rsidRDefault="00BB4B4F">
            <w:pPr>
              <w:pStyle w:val="TableParagraph"/>
              <w:spacing w:before="4"/>
              <w:ind w:left="200" w:right="2163"/>
              <w:rPr>
                <w:sz w:val="18"/>
              </w:rPr>
            </w:pPr>
            <w:r>
              <w:rPr>
                <w:sz w:val="18"/>
              </w:rPr>
              <w:t xml:space="preserve">в АТ «Ощадбанк»; </w:t>
            </w:r>
          </w:p>
          <w:p w:rsidR="009B5D8F" w:rsidRDefault="00BB4B4F">
            <w:pPr>
              <w:pStyle w:val="TableParagraph"/>
              <w:spacing w:before="4"/>
              <w:ind w:left="200" w:right="2163"/>
              <w:rPr>
                <w:spacing w:val="-42"/>
                <w:sz w:val="18"/>
              </w:rPr>
            </w:pPr>
            <w:r>
              <w:rPr>
                <w:sz w:val="18"/>
              </w:rPr>
              <w:t>МФО: 302076</w:t>
            </w:r>
            <w:r>
              <w:rPr>
                <w:spacing w:val="-42"/>
                <w:sz w:val="18"/>
              </w:rPr>
              <w:t xml:space="preserve"> </w:t>
            </w:r>
          </w:p>
          <w:p w:rsidR="002C7519" w:rsidRDefault="00BB4B4F">
            <w:pPr>
              <w:pStyle w:val="TableParagraph"/>
              <w:spacing w:before="4"/>
              <w:ind w:left="200" w:right="21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2C7519" w:rsidRDefault="00BB4B4F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4F5CEC" w:rsidRDefault="00BB4B4F">
            <w:pPr>
              <w:pStyle w:val="TableParagraph"/>
              <w:spacing w:line="242" w:lineRule="auto"/>
              <w:ind w:left="200" w:right="1471"/>
              <w:rPr>
                <w:color w:val="0462C1"/>
                <w:spacing w:val="-42"/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  <w:hyperlink r:id="rId7">
              <w:r>
                <w:rPr>
                  <w:color w:val="0462C1"/>
                  <w:sz w:val="18"/>
                  <w:u w:val="single" w:color="0462C1"/>
                </w:rPr>
                <w:t>gaszbut@vngas.com.ua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</w:p>
          <w:p w:rsidR="004F5CEC" w:rsidRPr="004F5CEC" w:rsidRDefault="004F5CEC">
            <w:pPr>
              <w:pStyle w:val="TableParagraph"/>
              <w:spacing w:line="242" w:lineRule="auto"/>
              <w:ind w:left="200" w:right="1471"/>
              <w:rPr>
                <w:sz w:val="18"/>
              </w:rPr>
            </w:pPr>
            <w:hyperlink r:id="rId8" w:history="1">
              <w:r w:rsidRPr="004F5CEC">
                <w:rPr>
                  <w:sz w:val="18"/>
                </w:rPr>
                <w:t>https://vngaszbut.com.ua</w:t>
              </w:r>
            </w:hyperlink>
            <w:bookmarkStart w:id="0" w:name="_GoBack"/>
            <w:bookmarkEnd w:id="0"/>
            <w:r>
              <w:rPr>
                <w:sz w:val="18"/>
                <w:lang w:val="ru-RU"/>
              </w:rPr>
              <w:t xml:space="preserve">   </w:t>
            </w:r>
            <w:r w:rsidRPr="004F5CEC">
              <w:rPr>
                <w:sz w:val="18"/>
              </w:rPr>
              <w:t xml:space="preserve"> </w:t>
            </w:r>
          </w:p>
          <w:p w:rsidR="002C7519" w:rsidRDefault="00BB4B4F">
            <w:pPr>
              <w:pStyle w:val="TableParagraph"/>
              <w:spacing w:line="242" w:lineRule="auto"/>
              <w:ind w:left="200" w:right="1471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C7519" w:rsidRDefault="002C7519">
            <w:pPr>
              <w:pStyle w:val="TableParagraph"/>
              <w:rPr>
                <w:sz w:val="20"/>
              </w:rPr>
            </w:pPr>
          </w:p>
          <w:p w:rsidR="002C7519" w:rsidRDefault="002C7519">
            <w:pPr>
              <w:pStyle w:val="TableParagraph"/>
              <w:spacing w:before="2" w:after="1"/>
            </w:pPr>
          </w:p>
          <w:p w:rsidR="002C7519" w:rsidRDefault="007A5D4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0160" t="5080" r="13335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0B2E0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2C7519" w:rsidRDefault="00BB4B4F">
            <w:pPr>
              <w:pStyle w:val="TableParagraph"/>
              <w:spacing w:line="139" w:lineRule="exact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2C7519" w:rsidRDefault="00BB4B4F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BB4B4F">
            <w:pPr>
              <w:pStyle w:val="TableParagraph"/>
              <w:spacing w:before="164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C7519" w:rsidRDefault="002C7519">
            <w:pPr>
              <w:pStyle w:val="TableParagraph"/>
              <w:rPr>
                <w:sz w:val="20"/>
              </w:rPr>
            </w:pPr>
          </w:p>
          <w:p w:rsidR="002C7519" w:rsidRDefault="002C7519">
            <w:pPr>
              <w:pStyle w:val="TableParagraph"/>
              <w:rPr>
                <w:sz w:val="23"/>
              </w:rPr>
            </w:pPr>
          </w:p>
          <w:p w:rsidR="002C7519" w:rsidRDefault="007A5D49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7620" r="1143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3EB96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2C7519" w:rsidRDefault="00BB4B4F">
            <w:pPr>
              <w:pStyle w:val="TableParagraph"/>
              <w:spacing w:line="105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BB4B4F" w:rsidRDefault="00BB4B4F"/>
    <w:sectPr w:rsidR="00BB4B4F">
      <w:pgSz w:w="11910" w:h="16840"/>
      <w:pgMar w:top="840" w:right="42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9EB"/>
    <w:multiLevelType w:val="hybridMultilevel"/>
    <w:tmpl w:val="1F78BD94"/>
    <w:lvl w:ilvl="0" w:tplc="910AC8B4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72EE6E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7DE646D6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E73EF4D2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AD263D02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E048BFF0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DD385F90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6F8A8A54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1C58BA30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4D8B0386"/>
    <w:multiLevelType w:val="hybridMultilevel"/>
    <w:tmpl w:val="B742FEF2"/>
    <w:lvl w:ilvl="0" w:tplc="3F145EB6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5ECB62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2DF46822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4C0CE812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9A6E0646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F0F6CBE8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1F402D6C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F47CE934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2BC0D4B2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9"/>
    <w:rsid w:val="001D34EE"/>
    <w:rsid w:val="002C7519"/>
    <w:rsid w:val="004F5CEC"/>
    <w:rsid w:val="0067571A"/>
    <w:rsid w:val="0077181C"/>
    <w:rsid w:val="007A5D49"/>
    <w:rsid w:val="009B5D8F"/>
    <w:rsid w:val="00BB4B4F"/>
    <w:rsid w:val="00B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D975-5518-4061-AF92-4325F54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5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gaszbu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szbut@vnga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7416</Words>
  <Characters>4228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Пишнов Віктор Володимирович</cp:lastModifiedBy>
  <cp:revision>3</cp:revision>
  <dcterms:created xsi:type="dcterms:W3CDTF">2022-01-20T09:38:00Z</dcterms:created>
  <dcterms:modified xsi:type="dcterms:W3CDTF">2022-02-03T10:48:00Z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